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D2C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D2C27" w:rsidRDefault="002D2C27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2D2C27">
              <w:rPr>
                <w:b/>
                <w:bCs/>
                <w:noProof/>
                <w:color w:val="C00000"/>
                <w:sz w:val="52"/>
                <w:szCs w:val="52"/>
              </w:rPr>
              <w:t>ПРИОРИТЕТЫ ПЕДАГОГИКИ И СОВРЕМЕННОГО ОБРАЗОВАНИЯ</w:t>
            </w:r>
          </w:p>
          <w:p w:rsidR="00913017" w:rsidRPr="005B72DD" w:rsidRDefault="002D2C2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2D2C27">
              <w:rPr>
                <w:b/>
                <w:noProof/>
                <w:sz w:val="24"/>
                <w:szCs w:val="24"/>
              </w:rPr>
              <w:t>98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D2C2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885CBD">
              <w:rPr>
                <w:noProof/>
                <w:lang w:val="en-US"/>
              </w:rPr>
              <w:fldChar w:fldCharType="begin"/>
            </w:r>
            <w:r w:rsidR="00885C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5CBD">
              <w:rPr>
                <w:noProof/>
                <w:lang w:val="en-US"/>
              </w:rPr>
              <w:fldChar w:fldCharType="separate"/>
            </w:r>
            <w:r w:rsidR="002D2C27">
              <w:rPr>
                <w:noProof/>
                <w:lang w:val="en-US"/>
              </w:rPr>
              <w:fldChar w:fldCharType="begin"/>
            </w:r>
            <w:r w:rsidR="002D2C27">
              <w:rPr>
                <w:noProof/>
                <w:lang w:val="en-US"/>
              </w:rPr>
              <w:instrText xml:space="preserve"> </w:instrText>
            </w:r>
            <w:r w:rsidR="002D2C27">
              <w:rPr>
                <w:noProof/>
                <w:lang w:val="en-US"/>
              </w:rPr>
              <w:instrText>INCLUD</w:instrText>
            </w:r>
            <w:r w:rsidR="002D2C27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2D2C27">
              <w:rPr>
                <w:noProof/>
                <w:lang w:val="en-US"/>
              </w:rPr>
              <w:instrText xml:space="preserve"> </w:instrText>
            </w:r>
            <w:r w:rsidR="002D2C27">
              <w:rPr>
                <w:noProof/>
                <w:lang w:val="en-US"/>
              </w:rPr>
              <w:fldChar w:fldCharType="separate"/>
            </w:r>
            <w:r w:rsidR="002D2C2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2D2C27">
              <w:rPr>
                <w:noProof/>
                <w:lang w:val="en-US"/>
              </w:rPr>
              <w:fldChar w:fldCharType="end"/>
            </w:r>
            <w:r w:rsidR="00885CBD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D2C2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885CBD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885CBD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885CBD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885CBD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885CBD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885CBD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D2C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85CBD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D2C27">
              <w:rPr>
                <w:color w:val="000000"/>
                <w:sz w:val="17"/>
                <w:szCs w:val="17"/>
              </w:rPr>
              <w:t>98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D2C27">
        <w:rPr>
          <w:b/>
          <w:noProof/>
          <w:sz w:val="18"/>
          <w:szCs w:val="18"/>
        </w:rPr>
        <w:t>5 марта</w:t>
      </w:r>
      <w:r w:rsidR="00885CB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2D2C27">
        <w:rPr>
          <w:noProof/>
          <w:sz w:val="18"/>
          <w:szCs w:val="18"/>
        </w:rPr>
        <w:t>98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2D2C27">
        <w:rPr>
          <w:noProof/>
          <w:sz w:val="18"/>
          <w:szCs w:val="18"/>
        </w:rPr>
        <w:t>98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2D2C27">
        <w:rPr>
          <w:noProof/>
          <w:sz w:val="18"/>
          <w:szCs w:val="18"/>
        </w:rPr>
        <w:t>98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2D2C27">
        <w:rPr>
          <w:b/>
          <w:noProof/>
          <w:color w:val="000000"/>
          <w:sz w:val="18"/>
          <w:szCs w:val="18"/>
        </w:rPr>
        <w:t>98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D2C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D2C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2C27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85CBD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2017-11-12T12:09:00Z</dcterms:modified>
</cp:coreProperties>
</file>