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240B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24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240B7" w:rsidRDefault="000240B7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0240B7">
              <w:rPr>
                <w:b/>
                <w:bCs/>
                <w:noProof/>
                <w:color w:val="C00000"/>
                <w:sz w:val="36"/>
                <w:szCs w:val="36"/>
              </w:rPr>
              <w:t>ИННОВАЦИОННОЕ РАЗВИТИЕ СОВРЕМЕННОЙ НАУКИ: ПРОБЛЕМЫ, ЗАКОНОМЕРНОСТИ, ПЕРСПЕКТИВЫ</w:t>
            </w:r>
          </w:p>
          <w:p w:rsidR="00913017" w:rsidRPr="005B72DD" w:rsidRDefault="000240B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240B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E0ADF">
              <w:rPr>
                <w:b/>
                <w:noProof/>
                <w:sz w:val="24"/>
                <w:szCs w:val="24"/>
              </w:rPr>
              <w:t>4</w:t>
            </w:r>
            <w:r w:rsidR="000240B7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0A03A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240B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</w:instrText>
            </w:r>
            <w:r w:rsidR="000240B7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0240B7">
              <w:rPr>
                <w:noProof/>
                <w:lang w:val="en-US"/>
              </w:rPr>
              <w:instrText>GEFORMATINET</w:instrText>
            </w:r>
            <w:r w:rsidR="000240B7">
              <w:rPr>
                <w:noProof/>
                <w:lang w:val="en-US"/>
              </w:rPr>
              <w:instrText xml:space="preserve">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240B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240B7" w:rsidRDefault="000240B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240B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240B7" w:rsidRDefault="00144947" w:rsidP="00024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3E0ADF">
              <w:rPr>
                <w:color w:val="000000"/>
                <w:sz w:val="17"/>
                <w:szCs w:val="17"/>
              </w:rPr>
              <w:t>4</w:t>
            </w:r>
            <w:r w:rsidR="000240B7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240B7">
        <w:rPr>
          <w:b/>
          <w:noProof/>
          <w:sz w:val="18"/>
          <w:szCs w:val="18"/>
        </w:rPr>
        <w:t>10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0240B7" w:rsidRPr="000240B7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0240B7" w:rsidRPr="000240B7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0240B7" w:rsidRPr="000240B7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240B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4789D">
        <w:rPr>
          <w:b/>
          <w:noProof/>
          <w:color w:val="000000"/>
          <w:sz w:val="18"/>
          <w:szCs w:val="18"/>
        </w:rPr>
        <w:t>24</w:t>
      </w:r>
      <w:r w:rsidR="000240B7" w:rsidRPr="000240B7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240B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0240B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240B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76</cp:revision>
  <cp:lastPrinted>2016-12-11T21:01:00Z</cp:lastPrinted>
  <dcterms:created xsi:type="dcterms:W3CDTF">2017-01-09T20:44:00Z</dcterms:created>
  <dcterms:modified xsi:type="dcterms:W3CDTF">2017-10-20T20:32:00Z</dcterms:modified>
</cp:coreProperties>
</file>