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01D1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A75833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636027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F01D19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A75833" w:rsidRDefault="00A75833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</w:pPr>
            <w:r w:rsidRPr="00A75833"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>ЛУЧШАЯ НАУЧ</w:t>
            </w:r>
            <w:r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>НО-ИССЛЕДОВАТЕЛЬСКАЯ РАБОТА 2017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63602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10 </w:t>
            </w:r>
            <w:r w:rsidR="00F01D19"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F01D19">
              <w:rPr>
                <w:b/>
                <w:bCs/>
                <w:noProof/>
                <w:color w:val="000000"/>
                <w:sz w:val="28"/>
                <w:szCs w:val="28"/>
              </w:rPr>
              <w:t>47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F01D19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</w:instrText>
            </w:r>
            <w:r w:rsidR="00F01D19">
              <w:rPr>
                <w:noProof/>
                <w:lang w:val="en-US"/>
              </w:rPr>
              <w:instrText>INCLUDEPICTURE  "ht</w:instrText>
            </w:r>
            <w:r w:rsidR="00F01D19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F01D19">
              <w:rPr>
                <w:noProof/>
                <w:lang w:val="en-US"/>
              </w:rPr>
              <w:instrText xml:space="preserve">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F01D1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b/>
          <w:noProof/>
          <w:sz w:val="18"/>
          <w:szCs w:val="18"/>
          <w:lang w:val="en-US"/>
        </w:rPr>
        <w:t>«</w:t>
      </w:r>
      <w:r w:rsidR="00A75833" w:rsidRPr="00A75833">
        <w:rPr>
          <w:b/>
          <w:noProof/>
          <w:sz w:val="18"/>
          <w:szCs w:val="18"/>
        </w:rPr>
        <w:t>Лучшая научно-исследовательская работа 201</w:t>
      </w:r>
      <w:r w:rsidR="00A75833" w:rsidRPr="00A75833">
        <w:rPr>
          <w:b/>
          <w:noProof/>
          <w:sz w:val="18"/>
          <w:szCs w:val="18"/>
          <w:lang w:val="en-US"/>
        </w:rPr>
        <w:t>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A75833">
        <w:rPr>
          <w:noProof/>
          <w:color w:val="C00000"/>
          <w:sz w:val="18"/>
          <w:szCs w:val="18"/>
          <w:u w:val="single"/>
          <w:lang w:val="en-US"/>
        </w:rPr>
        <w:t>РИНЦ (Российский индекс научного цитирования)</w:t>
      </w:r>
      <w:r w:rsidRPr="00A75833">
        <w:rPr>
          <w:noProof/>
          <w:color w:val="C00000"/>
          <w:sz w:val="18"/>
          <w:szCs w:val="18"/>
          <w:lang w:val="en-US"/>
        </w:rPr>
        <w:t>.</w:t>
      </w:r>
      <w:r w:rsidRPr="00A75833">
        <w:rPr>
          <w:noProof/>
          <w:sz w:val="18"/>
          <w:szCs w:val="18"/>
          <w:lang w:val="en-US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/>
          <w:bCs/>
          <w:noProof/>
          <w:sz w:val="18"/>
          <w:szCs w:val="18"/>
        </w:rPr>
        <w:t xml:space="preserve">В </w:t>
      </w:r>
      <w:r w:rsidRPr="00A75833">
        <w:rPr>
          <w:b/>
          <w:noProof/>
          <w:sz w:val="18"/>
          <w:szCs w:val="18"/>
          <w:lang w:val="en-US"/>
        </w:rPr>
        <w:t>Elibrary.ru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A75833" w:rsidRPr="00A75833">
        <w:rPr>
          <w:b/>
          <w:noProof/>
          <w:sz w:val="18"/>
          <w:szCs w:val="18"/>
        </w:rPr>
        <w:t>Лучшая научно-исследовательская работа 201</w:t>
      </w:r>
      <w:r w:rsidR="00A75833" w:rsidRPr="00A75833">
        <w:rPr>
          <w:b/>
          <w:noProof/>
          <w:sz w:val="18"/>
          <w:szCs w:val="18"/>
          <w:lang w:val="en-US"/>
        </w:rPr>
        <w:t>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A75833" w:rsidRPr="00A7583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  <w:r w:rsidRPr="00A75833">
        <w:rPr>
          <w:noProof/>
          <w:sz w:val="18"/>
          <w:szCs w:val="18"/>
        </w:rPr>
        <w:t xml:space="preserve">К публикации принимаются статьи объёмом 5-10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A75833">
          <w:rPr>
            <w:rStyle w:val="a9"/>
            <w:noProof/>
            <w:sz w:val="18"/>
            <w:szCs w:val="18"/>
          </w:rPr>
          <w:t>http://www.antiplagiat.ru</w:t>
        </w:r>
      </w:hyperlink>
    </w:p>
    <w:p w:rsidR="00A75833" w:rsidRPr="00A75833" w:rsidRDefault="00A7583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7C15E0" w:rsidRPr="007D1229" w:rsidTr="00D12D44">
        <w:trPr>
          <w:trHeight w:val="20"/>
          <w:jc w:val="center"/>
        </w:trPr>
        <w:tc>
          <w:tcPr>
            <w:tcW w:w="5000" w:type="pct"/>
          </w:tcPr>
          <w:p w:rsidR="007C15E0" w:rsidRPr="007D1229" w:rsidRDefault="007C15E0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636027" w:rsidP="00F01D1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К-4</w:t>
            </w:r>
            <w:r w:rsidR="00F01D19">
              <w:rPr>
                <w:noProof/>
                <w:color w:val="000000"/>
                <w:sz w:val="17"/>
                <w:szCs w:val="17"/>
              </w:rPr>
              <w:t>7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636027">
        <w:rPr>
          <w:b/>
          <w:noProof/>
          <w:sz w:val="18"/>
          <w:szCs w:val="18"/>
        </w:rPr>
        <w:t xml:space="preserve">10 </w:t>
      </w:r>
      <w:r w:rsidR="00F01D19">
        <w:rPr>
          <w:b/>
          <w:noProof/>
          <w:sz w:val="18"/>
          <w:szCs w:val="18"/>
        </w:rPr>
        <w:t xml:space="preserve">мая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5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636027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</w:t>
      </w:r>
      <w:r w:rsidR="00F01D19">
        <w:rPr>
          <w:noProof/>
          <w:sz w:val="16"/>
          <w:szCs w:val="16"/>
        </w:rPr>
        <w:t>7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636027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К-4</w:t>
      </w:r>
      <w:r w:rsidR="00F01D19">
        <w:rPr>
          <w:noProof/>
          <w:sz w:val="16"/>
          <w:szCs w:val="16"/>
        </w:rPr>
        <w:t>7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636027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</w:t>
      </w:r>
      <w:r w:rsidR="00F01D19">
        <w:rPr>
          <w:noProof/>
          <w:sz w:val="16"/>
          <w:szCs w:val="16"/>
        </w:rPr>
        <w:t>7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636027">
        <w:rPr>
          <w:b/>
          <w:noProof/>
          <w:color w:val="000000"/>
          <w:sz w:val="16"/>
          <w:szCs w:val="16"/>
        </w:rPr>
        <w:t>К-4</w:t>
      </w:r>
      <w:r w:rsidR="00F01D19">
        <w:rPr>
          <w:b/>
          <w:noProof/>
          <w:color w:val="000000"/>
          <w:sz w:val="16"/>
          <w:szCs w:val="16"/>
        </w:rPr>
        <w:t>7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6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7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F01D19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F01D19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F01D19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20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://naukaip.ru/%D0%BE%D0%BF%D0%BB%D0%B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k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22</cp:revision>
  <cp:lastPrinted>2016-12-11T21:01:00Z</cp:lastPrinted>
  <dcterms:created xsi:type="dcterms:W3CDTF">2017-01-09T20:44:00Z</dcterms:created>
  <dcterms:modified xsi:type="dcterms:W3CDTF">2017-04-11T14:34:00Z</dcterms:modified>
</cp:coreProperties>
</file>